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226CF8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26CF8" w:rsidRDefault="00B26A7D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4"/>
        </w:rPr>
        <w:t xml:space="preserve">Revised </w:t>
      </w:r>
      <w:r w:rsidR="00DB33BE">
        <w:rPr>
          <w:rFonts w:ascii="Times New Roman" w:hAnsi="Times New Roman" w:cs="Times New Roman"/>
          <w:color w:val="000000"/>
          <w:sz w:val="20"/>
          <w:szCs w:val="24"/>
        </w:rPr>
        <w:t>January, 2019</w:t>
      </w: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D0C31" w:rsidRPr="00307C19" w:rsidRDefault="002D0C31" w:rsidP="00DB33B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Staff Member Name:</w:t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  <w:r w:rsidR="00DB33BE">
        <w:rPr>
          <w:rFonts w:cstheme="minorHAnsi"/>
          <w:color w:val="000000"/>
          <w:sz w:val="20"/>
          <w:szCs w:val="24"/>
        </w:rPr>
        <w:t xml:space="preserve">   Staff ID # _________________</w:t>
      </w:r>
    </w:p>
    <w:p w:rsidR="002D0C31" w:rsidRPr="00307C19" w:rsidRDefault="002D0C31" w:rsidP="00DB33B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Position: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D0C31" w:rsidRPr="00307C19" w:rsidRDefault="002D0C31" w:rsidP="00DB33B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School Year: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D0C31" w:rsidRPr="00307C19" w:rsidRDefault="002D0C31" w:rsidP="00DB33BE">
      <w:pPr>
        <w:spacing w:line="360" w:lineRule="auto"/>
        <w:rPr>
          <w:rFonts w:cstheme="minorHAnsi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Supervisor:</w:t>
      </w:r>
      <w:r w:rsidRPr="00307C19">
        <w:rPr>
          <w:rFonts w:cstheme="minorHAnsi"/>
          <w:color w:val="000000"/>
          <w:sz w:val="20"/>
          <w:szCs w:val="24"/>
        </w:rPr>
        <w:tab/>
      </w:r>
      <w:r w:rsidRPr="00307C19">
        <w:rPr>
          <w:rFonts w:cstheme="minorHAnsi"/>
          <w:color w:val="000000"/>
          <w:sz w:val="20"/>
          <w:szCs w:val="24"/>
        </w:rPr>
        <w:tab/>
        <w:t xml:space="preserve"> _______________________________</w:t>
      </w:r>
    </w:p>
    <w:p w:rsidR="002D0C31" w:rsidRPr="000C7A0B" w:rsidRDefault="002D0C31" w:rsidP="00DB33BE">
      <w:pPr>
        <w:spacing w:line="360" w:lineRule="auto"/>
        <w:rPr>
          <w:rFonts w:ascii="Times New Roman" w:hAnsi="Times New Roman" w:cs="Times New Roman"/>
          <w:color w:val="000000"/>
          <w:sz w:val="20"/>
          <w:szCs w:val="24"/>
        </w:rPr>
      </w:pPr>
      <w:r w:rsidRPr="00307C19">
        <w:rPr>
          <w:rFonts w:cstheme="minorHAnsi"/>
          <w:color w:val="000000"/>
          <w:sz w:val="20"/>
          <w:szCs w:val="24"/>
        </w:rPr>
        <w:t>Evaluator: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 xml:space="preserve">  </w:t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</w:r>
      <w:r w:rsidRPr="000C7A0B">
        <w:rPr>
          <w:rFonts w:ascii="Times New Roman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Default="00307C19" w:rsidP="002D0C31"/>
    <w:p w:rsidR="00307C19" w:rsidRPr="00307C19" w:rsidRDefault="00307C19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5F0B59" w:rsidRPr="005F0B59" w:rsidRDefault="005F0B59" w:rsidP="005F0B59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F0B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5F0B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0B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0B59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5F0B59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5F0B59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5F0B59" w:rsidRPr="005F0B59" w:rsidRDefault="00E11F76" w:rsidP="005F0B5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>Employee’</w:t>
      </w:r>
      <w:bookmarkStart w:id="2" w:name="_GoBack"/>
      <w:bookmarkEnd w:id="2"/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t xml:space="preserve">s ID # </w:t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5F0B59" w:rsidRPr="005F0B59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307C19" w:rsidRPr="005F0B59" w:rsidRDefault="005F0B59" w:rsidP="005F0B5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F0B59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5F0B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0B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0B5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0B59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A646D8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A646D8">
        <w:rPr>
          <w:rFonts w:ascii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 xml:space="preserve">   CEC          </w:t>
      </w:r>
      <w:r w:rsidR="002D0C31" w:rsidRPr="003128FE">
        <w:rPr>
          <w:rFonts w:ascii="Times New Roman" w:hAnsi="Times New Roman" w:cs="Times New Roman"/>
          <w:sz w:val="24"/>
          <w:szCs w:val="24"/>
        </w:rPr>
        <w:t xml:space="preserve"> </w:t>
      </w:r>
      <w:r w:rsidR="002D0C31" w:rsidRPr="00A646D8">
        <w:rPr>
          <w:rFonts w:ascii="Times New Roman" w:hAnsi="Times New Roman" w:cs="Times New Roman"/>
          <w:b/>
          <w:sz w:val="24"/>
          <w:szCs w:val="24"/>
        </w:rPr>
        <w:t>Position:</w:t>
      </w:r>
      <w:r w:rsidR="002D0C31"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Cs/>
          <w:spacing w:val="-3"/>
        </w:rPr>
        <w:t>Human Resources Department Clerk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888"/>
        <w:gridCol w:w="540"/>
        <w:gridCol w:w="450"/>
        <w:gridCol w:w="450"/>
        <w:gridCol w:w="540"/>
        <w:gridCol w:w="4140"/>
      </w:tblGrid>
      <w:tr w:rsidR="00BA46F6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2D37BB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29249A" w:rsidP="00A646D8">
            <w:pPr>
              <w:autoSpaceDE w:val="0"/>
              <w:autoSpaceDN w:val="0"/>
              <w:rPr>
                <w:rFonts w:cstheme="minorHAnsi"/>
              </w:rPr>
            </w:pPr>
            <w:r w:rsidRPr="0029249A">
              <w:rPr>
                <w:rFonts w:cstheme="minorHAnsi"/>
              </w:rPr>
              <w:t>1</w:t>
            </w:r>
            <w:r w:rsidR="000C5F49">
              <w:rPr>
                <w:rFonts w:cstheme="minorHAnsi"/>
              </w:rPr>
              <w:t xml:space="preserve"> </w:t>
            </w:r>
            <w:r w:rsidRPr="0029249A">
              <w:rPr>
                <w:rFonts w:cstheme="minorHAnsi"/>
              </w:rPr>
              <w:t>.</w:t>
            </w:r>
            <w:r w:rsidR="00A646D8">
              <w:rPr>
                <w:rFonts w:cstheme="minorHAnsi"/>
              </w:rPr>
              <w:t>Complete</w:t>
            </w:r>
            <w:r w:rsidR="00AC6966">
              <w:rPr>
                <w:rFonts w:cstheme="minorHAnsi"/>
              </w:rPr>
              <w:t>s</w:t>
            </w:r>
            <w:r w:rsidR="00A646D8">
              <w:rPr>
                <w:rFonts w:cstheme="minorHAnsi"/>
              </w:rPr>
              <w:t xml:space="preserve"> background checks using the </w:t>
            </w:r>
            <w:proofErr w:type="spellStart"/>
            <w:r w:rsidR="00A646D8">
              <w:rPr>
                <w:rFonts w:cstheme="minorHAnsi"/>
              </w:rPr>
              <w:t>LiveScan</w:t>
            </w:r>
            <w:proofErr w:type="spellEnd"/>
            <w:r w:rsidR="00A646D8">
              <w:rPr>
                <w:rFonts w:cstheme="minorHAnsi"/>
              </w:rPr>
              <w:t xml:space="preserve"> fingerprint machine.</w:t>
            </w:r>
            <w:r w:rsidR="00A646D8" w:rsidRPr="00FD0A2B">
              <w:rPr>
                <w:rFonts w:cstheme="minorHAnsi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A646D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2</w:t>
            </w:r>
            <w:r w:rsidR="0029249A" w:rsidRPr="00226CF8">
              <w:rPr>
                <w:rFonts w:cstheme="minorHAnsi"/>
              </w:rPr>
              <w:t>.</w:t>
            </w:r>
            <w:r w:rsidR="000C5F49" w:rsidRPr="00226CF8">
              <w:rPr>
                <w:rFonts w:cstheme="minorHAnsi"/>
              </w:rPr>
              <w:t xml:space="preserve"> </w:t>
            </w:r>
            <w:r w:rsidR="00A646D8">
              <w:rPr>
                <w:rFonts w:cstheme="minorHAnsi"/>
              </w:rPr>
              <w:t>Decrypt</w:t>
            </w:r>
            <w:r w:rsidR="00AC6966">
              <w:rPr>
                <w:rFonts w:cstheme="minorHAnsi"/>
              </w:rPr>
              <w:t>s</w:t>
            </w:r>
            <w:r w:rsidR="00A646D8">
              <w:rPr>
                <w:rFonts w:cstheme="minorHAnsi"/>
              </w:rPr>
              <w:t xml:space="preserve"> and save</w:t>
            </w:r>
            <w:r w:rsidR="00AC6966">
              <w:rPr>
                <w:rFonts w:cstheme="minorHAnsi"/>
              </w:rPr>
              <w:t>s</w:t>
            </w:r>
            <w:r w:rsidR="00A646D8">
              <w:rPr>
                <w:rFonts w:cstheme="minorHAnsi"/>
              </w:rPr>
              <w:t xml:space="preserve"> returned background checks.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A646D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3.</w:t>
            </w:r>
            <w:r w:rsidR="000C5F49" w:rsidRPr="00226CF8">
              <w:rPr>
                <w:rFonts w:cstheme="minorHAnsi"/>
              </w:rPr>
              <w:t xml:space="preserve"> </w:t>
            </w:r>
            <w:r w:rsidR="00A646D8">
              <w:rPr>
                <w:rFonts w:cstheme="minorHAnsi"/>
              </w:rPr>
              <w:t>Take</w:t>
            </w:r>
            <w:r w:rsidR="00AC6966">
              <w:rPr>
                <w:rFonts w:cstheme="minorHAnsi"/>
              </w:rPr>
              <w:t>s</w:t>
            </w:r>
            <w:r w:rsidR="00A646D8">
              <w:rPr>
                <w:rFonts w:cstheme="minorHAnsi"/>
              </w:rPr>
              <w:t xml:space="preserve"> employee identification badge photos and create</w:t>
            </w:r>
            <w:r w:rsidR="00AC6966">
              <w:rPr>
                <w:rFonts w:cstheme="minorHAnsi"/>
              </w:rPr>
              <w:t>s</w:t>
            </w:r>
            <w:r w:rsidR="00A646D8">
              <w:rPr>
                <w:rFonts w:cstheme="minorHAnsi"/>
              </w:rPr>
              <w:t xml:space="preserve"> ID badges.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D7013B" w:rsidRDefault="000C5F49" w:rsidP="00A646D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4</w:t>
            </w:r>
            <w:r w:rsidR="00D7013B" w:rsidRPr="00226CF8">
              <w:rPr>
                <w:rFonts w:cstheme="minorHAnsi"/>
              </w:rPr>
              <w:t xml:space="preserve">. </w:t>
            </w:r>
            <w:r w:rsidR="00A646D8">
              <w:rPr>
                <w:rFonts w:cstheme="minorHAnsi"/>
              </w:rPr>
              <w:t>Prepare</w:t>
            </w:r>
            <w:r w:rsidR="00AC6966">
              <w:rPr>
                <w:rFonts w:cstheme="minorHAnsi"/>
              </w:rPr>
              <w:t>s</w:t>
            </w:r>
            <w:r w:rsidR="00A646D8">
              <w:rPr>
                <w:rFonts w:cstheme="minorHAnsi"/>
              </w:rPr>
              <w:t xml:space="preserve"> new hire orientation packets.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A46F6" w:rsidRDefault="00BA46F6" w:rsidP="009A68DC">
            <w:pPr>
              <w:rPr>
                <w:rFonts w:cstheme="minorHAnsi"/>
              </w:rPr>
            </w:pPr>
          </w:p>
          <w:p w:rsidR="00155F16" w:rsidRPr="00FD0A2B" w:rsidRDefault="00155F1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D7013B" w:rsidP="00A646D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>5.</w:t>
            </w:r>
            <w:r w:rsidR="00A646D8">
              <w:rPr>
                <w:rFonts w:cstheme="minorHAnsi"/>
              </w:rPr>
              <w:t xml:space="preserve"> Process</w:t>
            </w:r>
            <w:r w:rsidR="00AC6966">
              <w:rPr>
                <w:rFonts w:cstheme="minorHAnsi"/>
              </w:rPr>
              <w:t>es</w:t>
            </w:r>
            <w:r w:rsidR="00A646D8">
              <w:rPr>
                <w:rFonts w:cstheme="minorHAnsi"/>
              </w:rPr>
              <w:t xml:space="preserve"> employee address changes and name changes</w:t>
            </w:r>
            <w:r w:rsidR="00226CF8">
              <w:rPr>
                <w:rFonts w:cstheme="minorHAnsi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FD0A2B" w:rsidRDefault="000C5F49" w:rsidP="00A646D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 xml:space="preserve">6. </w:t>
            </w:r>
            <w:r w:rsidR="00A646D8">
              <w:rPr>
                <w:rFonts w:cstheme="minorHAnsi"/>
              </w:rPr>
              <w:t>Support</w:t>
            </w:r>
            <w:r w:rsidR="00AC6966">
              <w:rPr>
                <w:rFonts w:cstheme="minorHAnsi"/>
              </w:rPr>
              <w:t>s</w:t>
            </w:r>
            <w:r w:rsidR="00A646D8">
              <w:rPr>
                <w:rFonts w:cstheme="minorHAnsi"/>
              </w:rPr>
              <w:t xml:space="preserve"> HR in processing college course approvals and transcripts.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CF8" w:rsidRPr="00FD0A2B" w:rsidRDefault="00464F24" w:rsidP="00A646D8">
            <w:pPr>
              <w:autoSpaceDE w:val="0"/>
              <w:autoSpaceDN w:val="0"/>
              <w:rPr>
                <w:rFonts w:cstheme="minorHAnsi"/>
              </w:rPr>
            </w:pPr>
            <w:r>
              <w:br w:type="page"/>
            </w:r>
            <w:r w:rsidR="00226CF8" w:rsidRPr="00226CF8">
              <w:rPr>
                <w:rFonts w:cstheme="minorHAnsi"/>
              </w:rPr>
              <w:t>7.</w:t>
            </w:r>
            <w:r w:rsidR="00FF220A">
              <w:rPr>
                <w:rFonts w:cstheme="minorHAnsi"/>
              </w:rPr>
              <w:t xml:space="preserve"> </w:t>
            </w:r>
            <w:r w:rsidR="00A646D8">
              <w:rPr>
                <w:rFonts w:cstheme="minorHAnsi"/>
              </w:rPr>
              <w:t>Support</w:t>
            </w:r>
            <w:r w:rsidR="00AC6966">
              <w:rPr>
                <w:rFonts w:cstheme="minorHAnsi"/>
              </w:rPr>
              <w:t>s</w:t>
            </w:r>
            <w:r w:rsidR="00A646D8">
              <w:rPr>
                <w:rFonts w:cstheme="minorHAnsi"/>
              </w:rPr>
              <w:t xml:space="preserve"> HR in processing new hire employee paperwork, including updating files with missing documents</w:t>
            </w:r>
            <w:r w:rsidR="00226CF8" w:rsidRPr="00226CF8">
              <w:rPr>
                <w:rFonts w:cstheme="minorHAnsi"/>
              </w:rPr>
              <w:t>.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26CF8" w:rsidRPr="00FD0A2B" w:rsidRDefault="00226CF8" w:rsidP="00030D06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</w:tr>
      <w:tr w:rsidR="00226CF8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FD0A2B" w:rsidRDefault="00226CF8" w:rsidP="00A646D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 xml:space="preserve">8. </w:t>
            </w:r>
            <w:r w:rsidR="00A646D8">
              <w:rPr>
                <w:rFonts w:cstheme="minorHAnsi"/>
              </w:rPr>
              <w:t>Maintain</w:t>
            </w:r>
            <w:r w:rsidR="00AC6966">
              <w:rPr>
                <w:rFonts w:cstheme="minorHAnsi"/>
              </w:rPr>
              <w:t>s</w:t>
            </w:r>
            <w:r w:rsidR="00A646D8">
              <w:rPr>
                <w:rFonts w:cstheme="minorHAnsi"/>
              </w:rPr>
              <w:t xml:space="preserve"> the personnel file room, paying special attention to bulk filing from within the department.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9A68DC">
            <w:pPr>
              <w:rPr>
                <w:rFonts w:cstheme="minorHAnsi"/>
              </w:rPr>
            </w:pPr>
          </w:p>
        </w:tc>
      </w:tr>
      <w:tr w:rsidR="00155F16" w:rsidRPr="00FD0A2B" w:rsidTr="00155F16">
        <w:trPr>
          <w:trHeight w:val="647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Pr="00FD0A2B" w:rsidRDefault="00155F16" w:rsidP="00A646D8">
            <w:pPr>
              <w:autoSpaceDE w:val="0"/>
              <w:autoSpaceDN w:val="0"/>
              <w:rPr>
                <w:rFonts w:cstheme="minorHAnsi"/>
              </w:rPr>
            </w:pPr>
            <w:r w:rsidRPr="00226CF8">
              <w:rPr>
                <w:rFonts w:cstheme="minorHAnsi"/>
              </w:rPr>
              <w:t xml:space="preserve">9. </w:t>
            </w:r>
            <w:r>
              <w:rPr>
                <w:rFonts w:cstheme="minorHAnsi"/>
              </w:rPr>
              <w:t>Provide</w:t>
            </w:r>
            <w:r w:rsidR="00AC696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back-up for mail sorting and distribution.</w:t>
            </w: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F16" w:rsidRPr="00FD0A2B" w:rsidRDefault="00155F16" w:rsidP="00556B37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</w:tr>
      <w:tr w:rsidR="00155F1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Pr="00D7013B" w:rsidRDefault="00155F16" w:rsidP="00D7013B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10. Provide</w:t>
            </w:r>
            <w:r w:rsidR="00AC696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back-up for receptionist for absences and during break times.</w:t>
            </w: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</w:tr>
      <w:tr w:rsidR="00155F1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Pr="00FD0A2B" w:rsidRDefault="00155F16" w:rsidP="00D7013B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11. Provide</w:t>
            </w:r>
            <w:r w:rsidR="00AC696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general back-up for the Human Resources Department activities.</w:t>
            </w: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</w:tr>
      <w:tr w:rsidR="00155F1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Pr="00D7013B" w:rsidRDefault="00155F16" w:rsidP="00FF220A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12.  Provide</w:t>
            </w:r>
            <w:r w:rsidR="00AC696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clerical assistance to the department as required.</w:t>
            </w: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</w:tr>
      <w:tr w:rsidR="00155F1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Default="00155F16" w:rsidP="00E91AB9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="00AC6966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Assist</w:t>
            </w:r>
            <w:r w:rsidR="00AC696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employees with personnel questions and issues.</w:t>
            </w:r>
          </w:p>
          <w:p w:rsidR="00155F16" w:rsidRPr="00FD0A2B" w:rsidRDefault="00155F16" w:rsidP="00E91AB9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Default="00155F16" w:rsidP="002D0DE5">
            <w:pPr>
              <w:rPr>
                <w:rFonts w:cstheme="minorHAnsi"/>
              </w:rPr>
            </w:pPr>
          </w:p>
          <w:p w:rsidR="00155F16" w:rsidRDefault="00155F16" w:rsidP="002D0DE5">
            <w:pPr>
              <w:rPr>
                <w:rFonts w:cstheme="minorHAnsi"/>
              </w:rPr>
            </w:pPr>
          </w:p>
          <w:p w:rsidR="00155F16" w:rsidRDefault="00155F16" w:rsidP="002D0DE5">
            <w:pPr>
              <w:rPr>
                <w:rFonts w:cstheme="minorHAnsi"/>
              </w:rPr>
            </w:pPr>
          </w:p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</w:tr>
      <w:tr w:rsidR="00155F16" w:rsidRPr="00FD0A2B" w:rsidTr="00155F16">
        <w:trPr>
          <w:trHeight w:val="64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Default="00155F16" w:rsidP="00C70BB1">
            <w:pPr>
              <w:rPr>
                <w:rFonts w:cstheme="minorHAnsi"/>
              </w:rPr>
            </w:pPr>
          </w:p>
          <w:p w:rsidR="003B7C08" w:rsidRDefault="003B7C08" w:rsidP="00C70BB1">
            <w:pPr>
              <w:rPr>
                <w:rFonts w:cstheme="minorHAnsi"/>
              </w:rPr>
            </w:pPr>
          </w:p>
          <w:p w:rsidR="00155F16" w:rsidRDefault="00155F16" w:rsidP="00C70BB1">
            <w:pPr>
              <w:rPr>
                <w:rFonts w:cstheme="minorHAnsi"/>
              </w:rPr>
            </w:pPr>
            <w:r>
              <w:rPr>
                <w:rFonts w:cstheme="minorHAnsi"/>
              </w:rPr>
              <w:t>14.  Use</w:t>
            </w:r>
            <w:r w:rsidR="00AC696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personal computer and general office equipment.  Demonstrate</w:t>
            </w:r>
            <w:r w:rsidR="00AC696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proficiency using technology and computer-based programs provided by the District.  Use</w:t>
            </w:r>
            <w:r w:rsidR="00AC6966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 the programs to effectively manage and organize files communication, records and databases.</w:t>
            </w: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Default="00155F16" w:rsidP="00F0262D">
            <w:r>
              <w:lastRenderedPageBreak/>
              <w:t>P</w:t>
            </w:r>
          </w:p>
        </w:tc>
        <w:tc>
          <w:tcPr>
            <w:tcW w:w="450" w:type="dxa"/>
          </w:tcPr>
          <w:p w:rsidR="00155F16" w:rsidRDefault="00155F16" w:rsidP="00F0262D">
            <w:r>
              <w:t>E</w:t>
            </w:r>
          </w:p>
        </w:tc>
        <w:tc>
          <w:tcPr>
            <w:tcW w:w="450" w:type="dxa"/>
          </w:tcPr>
          <w:p w:rsidR="00155F16" w:rsidRDefault="00155F16" w:rsidP="00F0262D">
            <w:r>
              <w:t>U</w:t>
            </w:r>
          </w:p>
        </w:tc>
        <w:tc>
          <w:tcPr>
            <w:tcW w:w="540" w:type="dxa"/>
          </w:tcPr>
          <w:p w:rsidR="00155F16" w:rsidRDefault="00155F16" w:rsidP="00F0262D">
            <w:r>
              <w:t>NA</w:t>
            </w:r>
          </w:p>
        </w:tc>
        <w:tc>
          <w:tcPr>
            <w:tcW w:w="4140" w:type="dxa"/>
          </w:tcPr>
          <w:p w:rsidR="00155F16" w:rsidRDefault="00155F16" w:rsidP="00F0262D">
            <w:r>
              <w:t>Comments</w:t>
            </w:r>
          </w:p>
          <w:p w:rsidR="003B7C08" w:rsidRDefault="003B7C08" w:rsidP="00F0262D"/>
        </w:tc>
      </w:tr>
      <w:tr w:rsidR="00155F1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Pr="00BB5178" w:rsidRDefault="00155F16" w:rsidP="00BB51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theme="minorHAnsi"/>
              </w:rPr>
              <w:lastRenderedPageBreak/>
              <w:t>15</w:t>
            </w:r>
            <w:r w:rsidRPr="00BB5178">
              <w:rPr>
                <w:rFonts w:cstheme="minorHAnsi"/>
              </w:rPr>
              <w:t>.</w:t>
            </w:r>
            <w:r w:rsidRPr="00BB517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>Handles special requests with competence and grace.</w:t>
            </w:r>
          </w:p>
          <w:p w:rsidR="00155F16" w:rsidRDefault="00155F16" w:rsidP="00C70BB1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</w:tr>
      <w:tr w:rsidR="00155F1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Pr="00FD0A2B" w:rsidRDefault="00155F16" w:rsidP="00C70BB1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Pr="00FD0A2B">
              <w:rPr>
                <w:rFonts w:cstheme="minorHAnsi"/>
              </w:rPr>
              <w:t>. Maintains a professional demeanor, appearance, and work ethic.</w:t>
            </w:r>
          </w:p>
          <w:p w:rsidR="00155F16" w:rsidRPr="00BB5178" w:rsidRDefault="00155F16" w:rsidP="00BB5178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</w:tr>
      <w:tr w:rsidR="00155F1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Pr="00FD0A2B" w:rsidRDefault="00155F16" w:rsidP="00C70BB1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  <w:r w:rsidRPr="00FD0A2B">
              <w:rPr>
                <w:rFonts w:cstheme="minorHAnsi"/>
              </w:rPr>
              <w:t>. Maintains confidentiality regarding student, staff, and parent information.</w:t>
            </w:r>
          </w:p>
          <w:p w:rsidR="00155F16" w:rsidRPr="00FD0A2B" w:rsidRDefault="00155F16" w:rsidP="008F3951">
            <w:pPr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</w:tr>
      <w:tr w:rsidR="00155F16" w:rsidRPr="00FD0A2B" w:rsidTr="00155F16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Pr="00FD0A2B" w:rsidRDefault="00155F16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  <w:r w:rsidRPr="00FD0A2B">
              <w:rPr>
                <w:rFonts w:cstheme="minorHAnsi"/>
              </w:rPr>
              <w:t>. Works well with students, teachers, colleagues, staff, administration and parents/community members</w:t>
            </w:r>
            <w:r>
              <w:rPr>
                <w:rFonts w:cstheme="minorHAnsi"/>
              </w:rPr>
              <w:t>.</w:t>
            </w: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</w:tr>
      <w:tr w:rsidR="00155F16" w:rsidRPr="00FD0A2B" w:rsidTr="00155F16">
        <w:trPr>
          <w:trHeight w:val="1142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Pr="00FD0A2B" w:rsidRDefault="00155F16" w:rsidP="00155F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Pr="00FD0A2B">
              <w:rPr>
                <w:rFonts w:cstheme="minorHAnsi"/>
              </w:rPr>
              <w:t>. Is on site and ready for work at the appropriate time each day.  Honors lunch and break rules as well as rules relating to length of the work day.</w:t>
            </w:r>
          </w:p>
          <w:p w:rsidR="00155F16" w:rsidRPr="00FD0A2B" w:rsidRDefault="00155F16" w:rsidP="00155F1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155F16" w:rsidRPr="00FD0A2B" w:rsidRDefault="00155F16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</w:tr>
      <w:tr w:rsidR="00155F16" w:rsidRPr="00FD0A2B" w:rsidTr="00155F16">
        <w:trPr>
          <w:trHeight w:val="503"/>
        </w:trPr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55F16" w:rsidRPr="00FD0A2B" w:rsidRDefault="00155F16" w:rsidP="00155F1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20.  Performs other duties as assigned.</w:t>
            </w:r>
          </w:p>
        </w:tc>
        <w:tc>
          <w:tcPr>
            <w:tcW w:w="540" w:type="dxa"/>
            <w:tcBorders>
              <w:left w:val="single" w:sz="4" w:space="0" w:color="000000" w:themeColor="text1"/>
            </w:tcBorders>
          </w:tcPr>
          <w:p w:rsidR="00155F16" w:rsidRPr="00FD0A2B" w:rsidRDefault="00155F16" w:rsidP="00450B28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155F16" w:rsidRPr="00FD0A2B" w:rsidRDefault="00155F16" w:rsidP="002D0DE5">
            <w:pPr>
              <w:rPr>
                <w:rFonts w:cstheme="minorHAnsi"/>
              </w:rPr>
            </w:pPr>
          </w:p>
        </w:tc>
      </w:tr>
    </w:tbl>
    <w:p w:rsidR="00307C19" w:rsidRDefault="00307C19" w:rsidP="008F3951">
      <w:pPr>
        <w:rPr>
          <w:b/>
        </w:rPr>
      </w:pPr>
    </w:p>
    <w:p w:rsidR="00CB2B77" w:rsidRDefault="008F3951" w:rsidP="008F3951">
      <w:pPr>
        <w:rPr>
          <w:i/>
        </w:rPr>
      </w:pPr>
      <w:r w:rsidRPr="00120B11">
        <w:rPr>
          <w:b/>
        </w:rPr>
        <w:t>Additional comments as needed:</w:t>
      </w:r>
      <w:r>
        <w:rPr>
          <w:i/>
        </w:rPr>
        <w:t xml:space="preserve"> </w:t>
      </w:r>
    </w:p>
    <w:p w:rsidR="008F3951" w:rsidRDefault="00CB2B77" w:rsidP="008F3951"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3951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CB2B77" w:rsidRDefault="00CB2B77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5772646"/>
    <w:multiLevelType w:val="hybridMultilevel"/>
    <w:tmpl w:val="A2F37F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280724"/>
    <w:multiLevelType w:val="hybridMultilevel"/>
    <w:tmpl w:val="461B9A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E59834"/>
    <w:multiLevelType w:val="hybridMultilevel"/>
    <w:tmpl w:val="2AD9F3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98F050"/>
    <w:multiLevelType w:val="hybridMultilevel"/>
    <w:tmpl w:val="B013D9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D46302"/>
    <w:multiLevelType w:val="hybridMultilevel"/>
    <w:tmpl w:val="421C9E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716E4E"/>
    <w:multiLevelType w:val="hybridMultilevel"/>
    <w:tmpl w:val="8C80A45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42C0B"/>
    <w:multiLevelType w:val="hybridMultilevel"/>
    <w:tmpl w:val="202A540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E062A"/>
    <w:multiLevelType w:val="hybridMultilevel"/>
    <w:tmpl w:val="629A180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5363B"/>
    <w:multiLevelType w:val="hybridMultilevel"/>
    <w:tmpl w:val="F97A5CF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10B24"/>
    <w:multiLevelType w:val="hybridMultilevel"/>
    <w:tmpl w:val="65BC6794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D6915"/>
    <w:multiLevelType w:val="hybridMultilevel"/>
    <w:tmpl w:val="CD3E59B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43F422"/>
    <w:multiLevelType w:val="hybridMultilevel"/>
    <w:tmpl w:val="F5F4F0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E7F2070"/>
    <w:multiLevelType w:val="hybridMultilevel"/>
    <w:tmpl w:val="A7D04AD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54557"/>
    <w:multiLevelType w:val="hybridMultilevel"/>
    <w:tmpl w:val="654C7F6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2E2FB6"/>
    <w:multiLevelType w:val="hybridMultilevel"/>
    <w:tmpl w:val="A668909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0066F"/>
    <w:multiLevelType w:val="hybridMultilevel"/>
    <w:tmpl w:val="558E89A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11E5E"/>
    <w:multiLevelType w:val="hybridMultilevel"/>
    <w:tmpl w:val="A34AFDC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9247A"/>
    <w:multiLevelType w:val="hybridMultilevel"/>
    <w:tmpl w:val="BA9C81B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B52A1"/>
    <w:multiLevelType w:val="hybridMultilevel"/>
    <w:tmpl w:val="1BFA9E6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941E5"/>
    <w:multiLevelType w:val="hybridMultilevel"/>
    <w:tmpl w:val="42FAE35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26CF6"/>
    <w:multiLevelType w:val="hybridMultilevel"/>
    <w:tmpl w:val="BEAA3AA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321FF"/>
    <w:multiLevelType w:val="hybridMultilevel"/>
    <w:tmpl w:val="841CAB8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E2CE6"/>
    <w:multiLevelType w:val="hybridMultilevel"/>
    <w:tmpl w:val="EFE47F0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30D79"/>
    <w:multiLevelType w:val="hybridMultilevel"/>
    <w:tmpl w:val="160AF6F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8784E"/>
    <w:multiLevelType w:val="hybridMultilevel"/>
    <w:tmpl w:val="23A8343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7859"/>
    <w:multiLevelType w:val="hybridMultilevel"/>
    <w:tmpl w:val="08CE6B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861435F"/>
    <w:multiLevelType w:val="hybridMultilevel"/>
    <w:tmpl w:val="9F724D8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A56AA"/>
    <w:multiLevelType w:val="hybridMultilevel"/>
    <w:tmpl w:val="A21C8B3C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25294"/>
    <w:multiLevelType w:val="hybridMultilevel"/>
    <w:tmpl w:val="591AC19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35D80"/>
    <w:multiLevelType w:val="hybridMultilevel"/>
    <w:tmpl w:val="F9908BA4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31379D"/>
    <w:multiLevelType w:val="hybridMultilevel"/>
    <w:tmpl w:val="C2C6C31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5391C"/>
    <w:multiLevelType w:val="hybridMultilevel"/>
    <w:tmpl w:val="3E92F52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87BA9"/>
    <w:multiLevelType w:val="hybridMultilevel"/>
    <w:tmpl w:val="5C326E3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B6F3A"/>
    <w:multiLevelType w:val="hybridMultilevel"/>
    <w:tmpl w:val="3B6E6E0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84C96"/>
    <w:multiLevelType w:val="hybridMultilevel"/>
    <w:tmpl w:val="21BA3DF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044E02"/>
    <w:multiLevelType w:val="hybridMultilevel"/>
    <w:tmpl w:val="AF9CA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8595E"/>
    <w:multiLevelType w:val="hybridMultilevel"/>
    <w:tmpl w:val="9B56C70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8D4432"/>
    <w:multiLevelType w:val="hybridMultilevel"/>
    <w:tmpl w:val="9214A73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50FB1"/>
    <w:multiLevelType w:val="hybridMultilevel"/>
    <w:tmpl w:val="FE8615F2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8562C4"/>
    <w:multiLevelType w:val="hybridMultilevel"/>
    <w:tmpl w:val="84821546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22C3B"/>
    <w:multiLevelType w:val="hybridMultilevel"/>
    <w:tmpl w:val="DBF4BB5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D3705"/>
    <w:multiLevelType w:val="hybridMultilevel"/>
    <w:tmpl w:val="4DA65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31AB4"/>
    <w:multiLevelType w:val="hybridMultilevel"/>
    <w:tmpl w:val="2A2AFF2E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1976"/>
    <w:multiLevelType w:val="hybridMultilevel"/>
    <w:tmpl w:val="22C2B54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32D28"/>
    <w:multiLevelType w:val="hybridMultilevel"/>
    <w:tmpl w:val="431A9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30793"/>
    <w:multiLevelType w:val="hybridMultilevel"/>
    <w:tmpl w:val="476283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7D5338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 w15:restartNumberingAfterBreak="0">
    <w:nsid w:val="7DC95CD7"/>
    <w:multiLevelType w:val="hybridMultilevel"/>
    <w:tmpl w:val="53622CB8"/>
    <w:lvl w:ilvl="0" w:tplc="956E47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45"/>
  </w:num>
  <w:num w:numId="4">
    <w:abstractNumId w:val="11"/>
  </w:num>
  <w:num w:numId="5">
    <w:abstractNumId w:val="46"/>
  </w:num>
  <w:num w:numId="6">
    <w:abstractNumId w:val="1"/>
  </w:num>
  <w:num w:numId="7">
    <w:abstractNumId w:val="12"/>
  </w:num>
  <w:num w:numId="8">
    <w:abstractNumId w:val="0"/>
  </w:num>
  <w:num w:numId="9">
    <w:abstractNumId w:val="26"/>
  </w:num>
  <w:num w:numId="10">
    <w:abstractNumId w:val="3"/>
  </w:num>
  <w:num w:numId="11">
    <w:abstractNumId w:val="2"/>
  </w:num>
  <w:num w:numId="12">
    <w:abstractNumId w:val="47"/>
  </w:num>
  <w:num w:numId="13">
    <w:abstractNumId w:val="31"/>
  </w:num>
  <w:num w:numId="14">
    <w:abstractNumId w:val="9"/>
  </w:num>
  <w:num w:numId="15">
    <w:abstractNumId w:val="32"/>
  </w:num>
  <w:num w:numId="16">
    <w:abstractNumId w:val="5"/>
  </w:num>
  <w:num w:numId="17">
    <w:abstractNumId w:val="15"/>
  </w:num>
  <w:num w:numId="18">
    <w:abstractNumId w:val="13"/>
  </w:num>
  <w:num w:numId="19">
    <w:abstractNumId w:val="34"/>
  </w:num>
  <w:num w:numId="20">
    <w:abstractNumId w:val="4"/>
  </w:num>
  <w:num w:numId="21">
    <w:abstractNumId w:val="16"/>
  </w:num>
  <w:num w:numId="22">
    <w:abstractNumId w:val="20"/>
  </w:num>
  <w:num w:numId="23">
    <w:abstractNumId w:val="24"/>
  </w:num>
  <w:num w:numId="24">
    <w:abstractNumId w:val="19"/>
  </w:num>
  <w:num w:numId="25">
    <w:abstractNumId w:val="22"/>
  </w:num>
  <w:num w:numId="26">
    <w:abstractNumId w:val="40"/>
  </w:num>
  <w:num w:numId="27">
    <w:abstractNumId w:val="33"/>
  </w:num>
  <w:num w:numId="28">
    <w:abstractNumId w:val="8"/>
  </w:num>
  <w:num w:numId="29">
    <w:abstractNumId w:val="25"/>
  </w:num>
  <w:num w:numId="30">
    <w:abstractNumId w:val="7"/>
  </w:num>
  <w:num w:numId="31">
    <w:abstractNumId w:val="14"/>
  </w:num>
  <w:num w:numId="32">
    <w:abstractNumId w:val="41"/>
  </w:num>
  <w:num w:numId="33">
    <w:abstractNumId w:val="6"/>
  </w:num>
  <w:num w:numId="34">
    <w:abstractNumId w:val="44"/>
  </w:num>
  <w:num w:numId="35">
    <w:abstractNumId w:val="37"/>
  </w:num>
  <w:num w:numId="36">
    <w:abstractNumId w:val="23"/>
  </w:num>
  <w:num w:numId="37">
    <w:abstractNumId w:val="43"/>
  </w:num>
  <w:num w:numId="38">
    <w:abstractNumId w:val="39"/>
  </w:num>
  <w:num w:numId="39">
    <w:abstractNumId w:val="28"/>
  </w:num>
  <w:num w:numId="40">
    <w:abstractNumId w:val="27"/>
  </w:num>
  <w:num w:numId="41">
    <w:abstractNumId w:val="17"/>
  </w:num>
  <w:num w:numId="42">
    <w:abstractNumId w:val="10"/>
  </w:num>
  <w:num w:numId="43">
    <w:abstractNumId w:val="18"/>
  </w:num>
  <w:num w:numId="44">
    <w:abstractNumId w:val="38"/>
  </w:num>
  <w:num w:numId="45">
    <w:abstractNumId w:val="29"/>
  </w:num>
  <w:num w:numId="46">
    <w:abstractNumId w:val="21"/>
  </w:num>
  <w:num w:numId="47">
    <w:abstractNumId w:val="35"/>
  </w:num>
  <w:num w:numId="48">
    <w:abstractNumId w:val="3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67"/>
    <w:rsid w:val="00030D06"/>
    <w:rsid w:val="0004699E"/>
    <w:rsid w:val="00094C1B"/>
    <w:rsid w:val="000C5F49"/>
    <w:rsid w:val="00144C01"/>
    <w:rsid w:val="00155F16"/>
    <w:rsid w:val="00163303"/>
    <w:rsid w:val="001936FE"/>
    <w:rsid w:val="001B66A8"/>
    <w:rsid w:val="00226CF8"/>
    <w:rsid w:val="002758D8"/>
    <w:rsid w:val="0029249A"/>
    <w:rsid w:val="002A7447"/>
    <w:rsid w:val="002B3730"/>
    <w:rsid w:val="002D0C31"/>
    <w:rsid w:val="002D0DE5"/>
    <w:rsid w:val="00307C19"/>
    <w:rsid w:val="00317F9E"/>
    <w:rsid w:val="003270EF"/>
    <w:rsid w:val="00371479"/>
    <w:rsid w:val="0039199F"/>
    <w:rsid w:val="003A1A0D"/>
    <w:rsid w:val="003B7C08"/>
    <w:rsid w:val="003E287F"/>
    <w:rsid w:val="004266F4"/>
    <w:rsid w:val="0042794A"/>
    <w:rsid w:val="0044161D"/>
    <w:rsid w:val="004540C8"/>
    <w:rsid w:val="00464F24"/>
    <w:rsid w:val="004655D7"/>
    <w:rsid w:val="004659C4"/>
    <w:rsid w:val="00491C13"/>
    <w:rsid w:val="00494EEF"/>
    <w:rsid w:val="004A490A"/>
    <w:rsid w:val="004D40C1"/>
    <w:rsid w:val="0052528E"/>
    <w:rsid w:val="0053688D"/>
    <w:rsid w:val="00555C42"/>
    <w:rsid w:val="005F0B59"/>
    <w:rsid w:val="00616D0D"/>
    <w:rsid w:val="006A7A9A"/>
    <w:rsid w:val="006B3552"/>
    <w:rsid w:val="006C1BEA"/>
    <w:rsid w:val="0076484C"/>
    <w:rsid w:val="00765BAA"/>
    <w:rsid w:val="007F3EA3"/>
    <w:rsid w:val="00820989"/>
    <w:rsid w:val="00860822"/>
    <w:rsid w:val="008F3951"/>
    <w:rsid w:val="009156CD"/>
    <w:rsid w:val="00924116"/>
    <w:rsid w:val="00981428"/>
    <w:rsid w:val="009A68DC"/>
    <w:rsid w:val="009B1686"/>
    <w:rsid w:val="00A2556F"/>
    <w:rsid w:val="00A646D8"/>
    <w:rsid w:val="00A94459"/>
    <w:rsid w:val="00AC6966"/>
    <w:rsid w:val="00AD349C"/>
    <w:rsid w:val="00AD51BB"/>
    <w:rsid w:val="00B26A7D"/>
    <w:rsid w:val="00BA46F6"/>
    <w:rsid w:val="00BB5178"/>
    <w:rsid w:val="00BE76BE"/>
    <w:rsid w:val="00C20E29"/>
    <w:rsid w:val="00C70BB1"/>
    <w:rsid w:val="00C816F9"/>
    <w:rsid w:val="00C97F2F"/>
    <w:rsid w:val="00CA0B83"/>
    <w:rsid w:val="00CA2617"/>
    <w:rsid w:val="00CB2B77"/>
    <w:rsid w:val="00CC4E53"/>
    <w:rsid w:val="00D1210E"/>
    <w:rsid w:val="00D7013B"/>
    <w:rsid w:val="00D94062"/>
    <w:rsid w:val="00DB1709"/>
    <w:rsid w:val="00DB2D1E"/>
    <w:rsid w:val="00DB33BE"/>
    <w:rsid w:val="00DE5E91"/>
    <w:rsid w:val="00DF431A"/>
    <w:rsid w:val="00E04B44"/>
    <w:rsid w:val="00E11F76"/>
    <w:rsid w:val="00E24BF9"/>
    <w:rsid w:val="00E8249F"/>
    <w:rsid w:val="00E87109"/>
    <w:rsid w:val="00E91AB9"/>
    <w:rsid w:val="00ED19EE"/>
    <w:rsid w:val="00EF2622"/>
    <w:rsid w:val="00F102B0"/>
    <w:rsid w:val="00F11D67"/>
    <w:rsid w:val="00F84291"/>
    <w:rsid w:val="00F96A68"/>
    <w:rsid w:val="00F9749D"/>
    <w:rsid w:val="00FA79C0"/>
    <w:rsid w:val="00FD0A2B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28AE"/>
  <w15:docId w15:val="{E569D73A-E3C2-4C5F-A0D0-2C920B71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4</cp:revision>
  <cp:lastPrinted>2014-06-04T13:43:00Z</cp:lastPrinted>
  <dcterms:created xsi:type="dcterms:W3CDTF">2019-01-15T16:34:00Z</dcterms:created>
  <dcterms:modified xsi:type="dcterms:W3CDTF">2019-01-15T16:52:00Z</dcterms:modified>
</cp:coreProperties>
</file>